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C230C" w14:textId="1C875861" w:rsidR="005C6913" w:rsidRPr="006D7EE6" w:rsidRDefault="00F402C9" w:rsidP="00F402C9">
      <w:pPr>
        <w:spacing w:after="0"/>
        <w:rPr>
          <w:b/>
          <w:i/>
          <w:sz w:val="28"/>
          <w:szCs w:val="28"/>
        </w:rPr>
      </w:pPr>
      <w:bookmarkStart w:id="0" w:name="_GoBack"/>
      <w:bookmarkEnd w:id="0"/>
      <w:r w:rsidRPr="006D7EE6">
        <w:rPr>
          <w:b/>
          <w:i/>
          <w:sz w:val="28"/>
          <w:szCs w:val="28"/>
        </w:rPr>
        <w:t>The</w:t>
      </w:r>
      <w:r w:rsidR="006D7EE6" w:rsidRPr="006D7EE6">
        <w:rPr>
          <w:b/>
          <w:i/>
          <w:sz w:val="28"/>
          <w:szCs w:val="28"/>
        </w:rPr>
        <w:t xml:space="preserve"> </w:t>
      </w:r>
      <w:r w:rsidR="00285962">
        <w:rPr>
          <w:b/>
          <w:i/>
          <w:sz w:val="28"/>
          <w:szCs w:val="28"/>
        </w:rPr>
        <w:t>OECD h</w:t>
      </w:r>
      <w:r w:rsidR="006D7EE6" w:rsidRPr="006D7EE6">
        <w:rPr>
          <w:b/>
          <w:i/>
          <w:sz w:val="28"/>
          <w:szCs w:val="28"/>
        </w:rPr>
        <w:t>orizontal</w:t>
      </w:r>
      <w:r w:rsidR="001664A2" w:rsidRPr="006D7EE6">
        <w:rPr>
          <w:b/>
          <w:i/>
          <w:sz w:val="28"/>
          <w:szCs w:val="28"/>
        </w:rPr>
        <w:t xml:space="preserve"> ‘Going Digital’ Project</w:t>
      </w:r>
    </w:p>
    <w:p w14:paraId="39F93F74" w14:textId="77777777" w:rsidR="00F402C9" w:rsidRDefault="00F402C9" w:rsidP="00F402C9">
      <w:pPr>
        <w:spacing w:after="0"/>
      </w:pPr>
    </w:p>
    <w:p w14:paraId="023F82AE" w14:textId="77777777" w:rsidR="00B65ACB" w:rsidRDefault="00B65ACB" w:rsidP="00F402C9">
      <w:pPr>
        <w:spacing w:after="0"/>
      </w:pPr>
    </w:p>
    <w:p w14:paraId="2A04128B" w14:textId="77777777" w:rsidR="001664A2" w:rsidRPr="00DC6246" w:rsidRDefault="00F64E61">
      <w:pPr>
        <w:rPr>
          <w:b/>
          <w:i/>
          <w:sz w:val="28"/>
          <w:szCs w:val="28"/>
        </w:rPr>
      </w:pPr>
      <w:r w:rsidRPr="00DC6246">
        <w:rPr>
          <w:b/>
          <w:i/>
          <w:sz w:val="28"/>
          <w:szCs w:val="28"/>
        </w:rPr>
        <w:t>What is the origin of the project</w:t>
      </w:r>
      <w:r w:rsidR="001664A2" w:rsidRPr="00DC6246">
        <w:rPr>
          <w:b/>
          <w:i/>
          <w:sz w:val="28"/>
          <w:szCs w:val="28"/>
        </w:rPr>
        <w:t>?</w:t>
      </w:r>
    </w:p>
    <w:p w14:paraId="79482A52" w14:textId="77777777" w:rsidR="00684E9D" w:rsidRDefault="001664A2">
      <w:r>
        <w:t>The Going Digital project was launched in Berlin on January 12</w:t>
      </w:r>
      <w:r w:rsidRPr="001664A2">
        <w:rPr>
          <w:vertAlign w:val="superscript"/>
        </w:rPr>
        <w:t>th</w:t>
      </w:r>
      <w:r>
        <w:t xml:space="preserve">, 2017 in conjunction with the kick-off of Germany’s G20 presidential agenda. </w:t>
      </w:r>
    </w:p>
    <w:p w14:paraId="17EDD8E9" w14:textId="77777777" w:rsidR="00DC6246" w:rsidRDefault="00DC6246">
      <w:pPr>
        <w:rPr>
          <w:b/>
          <w:i/>
          <w:sz w:val="28"/>
          <w:szCs w:val="28"/>
        </w:rPr>
      </w:pPr>
    </w:p>
    <w:p w14:paraId="608C8519" w14:textId="77777777" w:rsidR="00684E9D" w:rsidRPr="00DC6246" w:rsidRDefault="00684E9D">
      <w:pPr>
        <w:rPr>
          <w:b/>
          <w:i/>
          <w:sz w:val="28"/>
          <w:szCs w:val="28"/>
        </w:rPr>
      </w:pPr>
      <w:r w:rsidRPr="00DC6246">
        <w:rPr>
          <w:b/>
          <w:i/>
          <w:sz w:val="28"/>
          <w:szCs w:val="28"/>
        </w:rPr>
        <w:t>What are the objectives of the project?</w:t>
      </w:r>
    </w:p>
    <w:p w14:paraId="09DAECEC" w14:textId="77777777" w:rsidR="001664A2" w:rsidRDefault="00B357A3">
      <w:r>
        <w:t xml:space="preserve">The project aims to help policymakers better understand the digital transformation that is taking place and develop tools to create a policy environment that enables their economies and societies prosper in a world that is increasingly digital and data-driven. The project will also undertake a stocktaking of the qualitative and quantitative effects of the digital transformation and its implications for policy development. Key to this stocktaking will be to identify, describe and better understand the various aspects -- or “vectors” -- of digital transformation that challenge public policies. </w:t>
      </w:r>
    </w:p>
    <w:p w14:paraId="1AA72555" w14:textId="77777777" w:rsidR="00DC6246" w:rsidRDefault="00DC6246">
      <w:pPr>
        <w:rPr>
          <w:b/>
          <w:i/>
          <w:sz w:val="28"/>
          <w:szCs w:val="28"/>
        </w:rPr>
      </w:pPr>
    </w:p>
    <w:p w14:paraId="2EBFCF3C" w14:textId="77777777" w:rsidR="001664A2" w:rsidRPr="00DC6246" w:rsidRDefault="00684E9D">
      <w:pPr>
        <w:rPr>
          <w:b/>
          <w:i/>
          <w:sz w:val="28"/>
          <w:szCs w:val="28"/>
        </w:rPr>
      </w:pPr>
      <w:r w:rsidRPr="00DC6246">
        <w:rPr>
          <w:b/>
          <w:i/>
          <w:sz w:val="28"/>
          <w:szCs w:val="28"/>
        </w:rPr>
        <w:t>How</w:t>
      </w:r>
      <w:r w:rsidR="001664A2" w:rsidRPr="00DC6246">
        <w:rPr>
          <w:b/>
          <w:i/>
          <w:sz w:val="28"/>
          <w:szCs w:val="28"/>
        </w:rPr>
        <w:t xml:space="preserve"> is the project</w:t>
      </w:r>
      <w:r w:rsidRPr="00DC6246">
        <w:rPr>
          <w:b/>
          <w:i/>
          <w:sz w:val="28"/>
          <w:szCs w:val="28"/>
        </w:rPr>
        <w:t xml:space="preserve"> organized</w:t>
      </w:r>
      <w:r w:rsidR="001664A2" w:rsidRPr="00DC6246">
        <w:rPr>
          <w:b/>
          <w:i/>
          <w:sz w:val="28"/>
          <w:szCs w:val="28"/>
        </w:rPr>
        <w:t>?</w:t>
      </w:r>
    </w:p>
    <w:p w14:paraId="6FA4B551" w14:textId="426F93FF" w:rsidR="009F650E" w:rsidRPr="00B65ACB" w:rsidRDefault="009F650E" w:rsidP="00F402C9">
      <w:pPr>
        <w:pStyle w:val="Default"/>
        <w:rPr>
          <w:rFonts w:asciiTheme="minorHAnsi" w:hAnsiTheme="minorHAnsi"/>
          <w:sz w:val="28"/>
          <w:szCs w:val="22"/>
        </w:rPr>
      </w:pPr>
      <w:r w:rsidRPr="00B65ACB">
        <w:rPr>
          <w:rFonts w:asciiTheme="minorHAnsi" w:hAnsiTheme="minorHAnsi"/>
          <w:sz w:val="22"/>
          <w:szCs w:val="22"/>
        </w:rPr>
        <w:t xml:space="preserve">To realise its full benefits, governments need to reach across traditional policy silos and across different levels of government and develop a whole-of-government approach to policymaking. </w:t>
      </w:r>
    </w:p>
    <w:p w14:paraId="1CCCE322" w14:textId="77777777" w:rsidR="00D06EA7" w:rsidRPr="00684E9D" w:rsidRDefault="00D06EA7" w:rsidP="00F402C9">
      <w:pPr>
        <w:pStyle w:val="Default"/>
        <w:rPr>
          <w:rFonts w:asciiTheme="minorHAnsi" w:hAnsiTheme="minorHAnsi"/>
          <w:sz w:val="22"/>
          <w:szCs w:val="22"/>
        </w:rPr>
      </w:pPr>
    </w:p>
    <w:p w14:paraId="7B3248D1" w14:textId="6583894D" w:rsidR="00B357A3" w:rsidRPr="00684E9D" w:rsidRDefault="00D06EA7" w:rsidP="00F402C9">
      <w:pPr>
        <w:pStyle w:val="Default"/>
        <w:rPr>
          <w:rFonts w:asciiTheme="minorHAnsi" w:hAnsiTheme="minorHAnsi"/>
          <w:sz w:val="22"/>
          <w:szCs w:val="22"/>
        </w:rPr>
      </w:pPr>
      <w:r w:rsidRPr="00684E9D">
        <w:rPr>
          <w:rFonts w:asciiTheme="minorHAnsi" w:hAnsiTheme="minorHAnsi"/>
          <w:sz w:val="22"/>
          <w:szCs w:val="22"/>
        </w:rPr>
        <w:t xml:space="preserve">The project will be organized into three principal tracks, or pillars. Issues of measurement of the digital economy will be </w:t>
      </w:r>
      <w:r w:rsidR="00684E9D" w:rsidRPr="00684E9D">
        <w:rPr>
          <w:rFonts w:asciiTheme="minorHAnsi" w:hAnsiTheme="minorHAnsi"/>
          <w:sz w:val="22"/>
          <w:szCs w:val="22"/>
        </w:rPr>
        <w:t>addressed in Pillar 3 as it reaches across nearly all subject matter areas.</w:t>
      </w:r>
      <w:r w:rsidR="002A20D7">
        <w:rPr>
          <w:rFonts w:asciiTheme="minorHAnsi" w:hAnsiTheme="minorHAnsi"/>
          <w:sz w:val="22"/>
          <w:szCs w:val="22"/>
        </w:rPr>
        <w:t xml:space="preserve"> The measurement module will be co-lead by three OECD directorates:  the Directorate for Science, Technology, and Innovation (STI), Statistics Directorate (STD), and the Trade and Agriculture Directorate (TAD). </w:t>
      </w:r>
      <w:r w:rsidR="00684E9D" w:rsidRPr="00684E9D">
        <w:rPr>
          <w:rFonts w:asciiTheme="minorHAnsi" w:hAnsiTheme="minorHAnsi"/>
          <w:sz w:val="22"/>
          <w:szCs w:val="22"/>
        </w:rPr>
        <w:t xml:space="preserve"> </w:t>
      </w:r>
    </w:p>
    <w:p w14:paraId="53208657" w14:textId="77777777" w:rsidR="00D06EA7" w:rsidRPr="00684E9D" w:rsidRDefault="00D06EA7" w:rsidP="00F402C9">
      <w:pPr>
        <w:pStyle w:val="Default"/>
        <w:rPr>
          <w:rFonts w:asciiTheme="minorHAnsi" w:hAnsiTheme="minorHAnsi"/>
          <w:sz w:val="22"/>
          <w:szCs w:val="22"/>
        </w:rPr>
      </w:pPr>
    </w:p>
    <w:p w14:paraId="21CEA0BB" w14:textId="77777777" w:rsidR="00F402C9" w:rsidRPr="00684E9D" w:rsidRDefault="00F402C9" w:rsidP="00F402C9">
      <w:pPr>
        <w:pStyle w:val="Default"/>
        <w:spacing w:after="275"/>
        <w:rPr>
          <w:rFonts w:asciiTheme="minorHAnsi" w:hAnsiTheme="minorHAnsi"/>
          <w:sz w:val="22"/>
          <w:szCs w:val="22"/>
        </w:rPr>
      </w:pPr>
      <w:r w:rsidRPr="00684E9D">
        <w:rPr>
          <w:rFonts w:asciiTheme="minorHAnsi" w:hAnsiTheme="minorHAnsi"/>
          <w:b/>
          <w:bCs/>
          <w:sz w:val="22"/>
          <w:szCs w:val="22"/>
        </w:rPr>
        <w:t xml:space="preserve">Pillar 1 (horizontal activities): </w:t>
      </w:r>
      <w:r w:rsidRPr="00684E9D">
        <w:rPr>
          <w:rFonts w:asciiTheme="minorHAnsi" w:hAnsiTheme="minorHAnsi"/>
          <w:sz w:val="22"/>
          <w:szCs w:val="22"/>
        </w:rPr>
        <w:t xml:space="preserve">An </w:t>
      </w:r>
      <w:r w:rsidRPr="00684E9D">
        <w:rPr>
          <w:rFonts w:asciiTheme="minorHAnsi" w:hAnsiTheme="minorHAnsi"/>
          <w:b/>
          <w:bCs/>
          <w:i/>
          <w:iCs/>
          <w:sz w:val="22"/>
          <w:szCs w:val="22"/>
        </w:rPr>
        <w:t xml:space="preserve">integrated policy framework </w:t>
      </w:r>
      <w:r w:rsidRPr="00684E9D">
        <w:rPr>
          <w:rFonts w:asciiTheme="minorHAnsi" w:hAnsiTheme="minorHAnsi"/>
          <w:sz w:val="22"/>
          <w:szCs w:val="22"/>
        </w:rPr>
        <w:t xml:space="preserve">for making the digital transformation work for growth and well-being and </w:t>
      </w:r>
      <w:r w:rsidRPr="00684E9D">
        <w:rPr>
          <w:rFonts w:asciiTheme="minorHAnsi" w:hAnsiTheme="minorHAnsi"/>
          <w:b/>
          <w:bCs/>
          <w:i/>
          <w:iCs/>
          <w:sz w:val="22"/>
          <w:szCs w:val="22"/>
        </w:rPr>
        <w:t>other activities that are relevant across all policy areas</w:t>
      </w:r>
      <w:r w:rsidRPr="00684E9D">
        <w:rPr>
          <w:rFonts w:asciiTheme="minorHAnsi" w:hAnsiTheme="minorHAnsi"/>
          <w:sz w:val="22"/>
          <w:szCs w:val="22"/>
        </w:rPr>
        <w:t xml:space="preserve">, including analysis of the new technological and other drivers of the digital transformation and what this implies for policy. </w:t>
      </w:r>
    </w:p>
    <w:p w14:paraId="0EF8F9B5" w14:textId="77777777" w:rsidR="00F402C9" w:rsidRPr="00684E9D" w:rsidRDefault="00F402C9" w:rsidP="00F402C9">
      <w:pPr>
        <w:pStyle w:val="Default"/>
        <w:spacing w:after="275"/>
        <w:rPr>
          <w:rFonts w:asciiTheme="minorHAnsi" w:hAnsiTheme="minorHAnsi"/>
          <w:sz w:val="22"/>
          <w:szCs w:val="22"/>
        </w:rPr>
      </w:pPr>
      <w:r w:rsidRPr="00684E9D">
        <w:rPr>
          <w:rFonts w:asciiTheme="minorHAnsi" w:hAnsiTheme="minorHAnsi"/>
          <w:b/>
          <w:bCs/>
          <w:sz w:val="22"/>
          <w:szCs w:val="22"/>
        </w:rPr>
        <w:t>Pillar 2 (Committee-specific work)</w:t>
      </w:r>
      <w:r w:rsidRPr="00684E9D">
        <w:rPr>
          <w:rFonts w:asciiTheme="minorHAnsi" w:hAnsiTheme="minorHAnsi"/>
          <w:sz w:val="22"/>
          <w:szCs w:val="22"/>
        </w:rPr>
        <w:t xml:space="preserve">: </w:t>
      </w:r>
      <w:r w:rsidRPr="00684E9D">
        <w:rPr>
          <w:rFonts w:asciiTheme="minorHAnsi" w:hAnsiTheme="minorHAnsi"/>
          <w:b/>
          <w:bCs/>
          <w:i/>
          <w:iCs/>
          <w:sz w:val="22"/>
          <w:szCs w:val="22"/>
        </w:rPr>
        <w:t xml:space="preserve">Relevant analysis of the digital transformation in specific policy areas </w:t>
      </w:r>
      <w:r w:rsidRPr="00684E9D">
        <w:rPr>
          <w:rFonts w:asciiTheme="minorHAnsi" w:hAnsiTheme="minorHAnsi"/>
          <w:sz w:val="22"/>
          <w:szCs w:val="22"/>
        </w:rPr>
        <w:t xml:space="preserve">(e.g. tax, trade, competition, etc.) and in the broader economy as outlined in each Committee’s respective PWBs for 2017-18. </w:t>
      </w:r>
    </w:p>
    <w:p w14:paraId="00904B15" w14:textId="77777777" w:rsidR="00F402C9" w:rsidRDefault="00F402C9" w:rsidP="00F402C9">
      <w:pPr>
        <w:pStyle w:val="Default"/>
        <w:rPr>
          <w:rFonts w:asciiTheme="minorHAnsi" w:hAnsiTheme="minorHAnsi"/>
          <w:sz w:val="22"/>
          <w:szCs w:val="22"/>
        </w:rPr>
      </w:pPr>
      <w:r w:rsidRPr="00684E9D">
        <w:rPr>
          <w:rFonts w:asciiTheme="minorHAnsi" w:hAnsiTheme="minorHAnsi"/>
          <w:b/>
          <w:bCs/>
          <w:sz w:val="22"/>
          <w:szCs w:val="22"/>
        </w:rPr>
        <w:t xml:space="preserve">Pillar 3 (cross-cutting modules): </w:t>
      </w:r>
      <w:r w:rsidRPr="00684E9D">
        <w:rPr>
          <w:rFonts w:asciiTheme="minorHAnsi" w:hAnsiTheme="minorHAnsi"/>
          <w:sz w:val="22"/>
          <w:szCs w:val="22"/>
        </w:rPr>
        <w:t xml:space="preserve">A set of </w:t>
      </w:r>
      <w:r w:rsidRPr="00684E9D">
        <w:rPr>
          <w:rFonts w:asciiTheme="minorHAnsi" w:hAnsiTheme="minorHAnsi"/>
          <w:b/>
          <w:bCs/>
          <w:i/>
          <w:iCs/>
          <w:sz w:val="22"/>
          <w:szCs w:val="22"/>
        </w:rPr>
        <w:t>modules focusing on key cross-cutting issues</w:t>
      </w:r>
      <w:r w:rsidRPr="00684E9D">
        <w:rPr>
          <w:rFonts w:asciiTheme="minorHAnsi" w:hAnsiTheme="minorHAnsi"/>
          <w:sz w:val="22"/>
          <w:szCs w:val="22"/>
        </w:rPr>
        <w:t xml:space="preserve">. This work will involve a “deep dive” into specific issues involves some (but not all) policy areas to gain key insights into some of the big challenges we face in the digital era and that are at the intersection of more than one policy area. </w:t>
      </w:r>
    </w:p>
    <w:p w14:paraId="3A9D0C31" w14:textId="77777777" w:rsidR="00B357A3" w:rsidRDefault="00B357A3" w:rsidP="00F402C9">
      <w:pPr>
        <w:pStyle w:val="Default"/>
        <w:rPr>
          <w:rFonts w:asciiTheme="minorHAnsi" w:hAnsiTheme="minorHAnsi"/>
          <w:sz w:val="22"/>
          <w:szCs w:val="22"/>
        </w:rPr>
      </w:pPr>
    </w:p>
    <w:p w14:paraId="35E98A0C" w14:textId="77777777" w:rsidR="00F402C9" w:rsidRDefault="00B357A3" w:rsidP="00B05BF5">
      <w:pPr>
        <w:pStyle w:val="Default"/>
      </w:pPr>
      <w:r>
        <w:rPr>
          <w:rFonts w:asciiTheme="minorHAnsi" w:hAnsiTheme="minorHAnsi"/>
          <w:sz w:val="22"/>
          <w:szCs w:val="22"/>
        </w:rPr>
        <w:t xml:space="preserve">The project governance structure is included in Annex 1 below. </w:t>
      </w:r>
      <w:r w:rsidR="00B05BF5">
        <w:rPr>
          <w:rFonts w:asciiTheme="minorHAnsi" w:hAnsiTheme="minorHAnsi"/>
          <w:sz w:val="22"/>
          <w:szCs w:val="22"/>
        </w:rPr>
        <w:br/>
      </w:r>
    </w:p>
    <w:p w14:paraId="75966D58" w14:textId="77777777" w:rsidR="00DC6246" w:rsidRDefault="00DC6246">
      <w:pPr>
        <w:rPr>
          <w:b/>
          <w:i/>
          <w:sz w:val="28"/>
          <w:szCs w:val="28"/>
        </w:rPr>
      </w:pPr>
    </w:p>
    <w:p w14:paraId="26EDCABF" w14:textId="77777777" w:rsidR="00DC6246" w:rsidRDefault="00DC6246">
      <w:pPr>
        <w:rPr>
          <w:b/>
          <w:i/>
          <w:sz w:val="28"/>
          <w:szCs w:val="28"/>
        </w:rPr>
      </w:pPr>
    </w:p>
    <w:p w14:paraId="5B61AFEC" w14:textId="67D149D1" w:rsidR="001664A2" w:rsidRPr="00DC6246" w:rsidRDefault="00DC6246">
      <w:pPr>
        <w:rPr>
          <w:b/>
          <w:i/>
          <w:sz w:val="28"/>
          <w:szCs w:val="28"/>
        </w:rPr>
      </w:pPr>
      <w:r>
        <w:rPr>
          <w:b/>
          <w:i/>
          <w:sz w:val="28"/>
          <w:szCs w:val="28"/>
        </w:rPr>
        <w:t>Who is responsible for the p</w:t>
      </w:r>
      <w:r w:rsidR="001664A2" w:rsidRPr="00DC6246">
        <w:rPr>
          <w:b/>
          <w:i/>
          <w:sz w:val="28"/>
          <w:szCs w:val="28"/>
        </w:rPr>
        <w:t>roject?</w:t>
      </w:r>
    </w:p>
    <w:p w14:paraId="0B49E1C4" w14:textId="174C14CE" w:rsidR="00DC6246" w:rsidRDefault="00F64E61" w:rsidP="00CF05C0">
      <w:r>
        <w:t>The project is being led by the Committee on Digital Economy Policy</w:t>
      </w:r>
      <w:r w:rsidR="00DC6246">
        <w:t xml:space="preserve"> (CDEP)</w:t>
      </w:r>
      <w:r>
        <w:t xml:space="preserve"> in the Science, Technology and Innovation branch. However,</w:t>
      </w:r>
      <w:r w:rsidR="00F402C9">
        <w:t xml:space="preserve"> the project is designed to incorporate inputs from multiple committees across the OECD and leverage the expertise that resides in different areas. To that end, there are 14 other committees at the OECD that are considered ‘core committees’. </w:t>
      </w:r>
      <w:r w:rsidR="00AB612A" w:rsidRPr="008214D8">
        <w:t xml:space="preserve">The issue of measurement cuts across subject matter and intersects multiple policy areas. </w:t>
      </w:r>
    </w:p>
    <w:p w14:paraId="5F122AC3" w14:textId="23F6BEE4" w:rsidR="00AB612A" w:rsidRDefault="00CF05C0" w:rsidP="00CF05C0">
      <w:r>
        <w:t xml:space="preserve">The Working </w:t>
      </w:r>
      <w:r w:rsidR="00BA33F6" w:rsidRPr="008214D8">
        <w:t>P</w:t>
      </w:r>
      <w:r>
        <w:t xml:space="preserve">arty on </w:t>
      </w:r>
      <w:r w:rsidR="00BA33F6" w:rsidRPr="008214D8">
        <w:t>M</w:t>
      </w:r>
      <w:r>
        <w:t xml:space="preserve">easurement and </w:t>
      </w:r>
      <w:r w:rsidR="00BA33F6" w:rsidRPr="008214D8">
        <w:t>A</w:t>
      </w:r>
      <w:r>
        <w:t xml:space="preserve">nalysis of the </w:t>
      </w:r>
      <w:r w:rsidR="00BA33F6" w:rsidRPr="008214D8">
        <w:t>D</w:t>
      </w:r>
      <w:r>
        <w:t xml:space="preserve">igital </w:t>
      </w:r>
      <w:r w:rsidR="00BA33F6" w:rsidRPr="008214D8">
        <w:t>E</w:t>
      </w:r>
      <w:r>
        <w:t>conomy</w:t>
      </w:r>
      <w:r w:rsidR="003B75DF">
        <w:t xml:space="preserve"> </w:t>
      </w:r>
      <w:r w:rsidR="00DC6246">
        <w:t>(WPMADE)</w:t>
      </w:r>
      <w:r w:rsidR="00BA33F6" w:rsidRPr="008214D8">
        <w:t xml:space="preserve"> will serve as a </w:t>
      </w:r>
      <w:r w:rsidR="002A20D7">
        <w:t>co-</w:t>
      </w:r>
      <w:r w:rsidR="00BA33F6" w:rsidRPr="008214D8">
        <w:t>lead on measurement given delegates’ experience and expertise</w:t>
      </w:r>
      <w:r w:rsidR="00AB612A" w:rsidRPr="008214D8">
        <w:t xml:space="preserve"> in developing appropriate indicators as well as concepts and definitions. </w:t>
      </w:r>
      <w:r w:rsidR="008214D8" w:rsidRPr="008214D8">
        <w:t xml:space="preserve">The Working Party will cooperate with other WPs in the Committee to develop new and </w:t>
      </w:r>
      <w:r w:rsidR="008214D8" w:rsidRPr="00B05BF5">
        <w:t xml:space="preserve">improve existing indicators and metrics for security and privacy, global data flows, internet openness, broadband and the Internet of Things (IoT). </w:t>
      </w:r>
      <w:r w:rsidRPr="00CF05C0">
        <w:rPr>
          <w:bCs/>
        </w:rPr>
        <w:t>A summary of this work will be encapsulated in the publication/online portal, ‘</w:t>
      </w:r>
      <w:r w:rsidR="00DC6246">
        <w:rPr>
          <w:bCs/>
        </w:rPr>
        <w:t>Measuring the Digital E</w:t>
      </w:r>
      <w:r w:rsidRPr="00CF05C0">
        <w:rPr>
          <w:bCs/>
        </w:rPr>
        <w:t>conomy: A New Perspective’ (Publication in Q4 – 2018)</w:t>
      </w:r>
      <w:r w:rsidR="00B05BF5" w:rsidRPr="00B05BF5">
        <w:br/>
      </w:r>
    </w:p>
    <w:p w14:paraId="44A683E7" w14:textId="1759356A" w:rsidR="003B75DF" w:rsidRDefault="003B75DF" w:rsidP="00CF05C0">
      <w:r>
        <w:t>In addition, the Committee on Statistics and Statistical Policy (CSSP), one of the core committees in the Going Digital Project, have established an Advisory Group on Measuring GDP in a Digitalised Economy under the auspices of the Working Party on National Accounts (WPNA) to advance the measurement agenda in relation to macroeconomic statistics.</w:t>
      </w:r>
      <w:r w:rsidRPr="008214D8">
        <w:t xml:space="preserve"> </w:t>
      </w:r>
      <w:r>
        <w:t xml:space="preserve">The Advisory Group includes national accountants from national statistical offices, international organisations </w:t>
      </w:r>
      <w:r w:rsidR="006C5C0E">
        <w:t xml:space="preserve">including </w:t>
      </w:r>
      <w:r>
        <w:t xml:space="preserve">Eurostat and the IMF, and members of the WPMADE. </w:t>
      </w:r>
      <w:r w:rsidR="006C5C0E">
        <w:t xml:space="preserve">The work of the Advisory Group will also serve as input into G20 deliberations which the G20 has tasked the OECD and IMF to provide further research on potential mismeasurement of macroeconomic statistics due to digitalisation of the economy. </w:t>
      </w:r>
      <w:r>
        <w:t xml:space="preserve">Also, on the measurement front and in the context of digital trade the OECD-WTO </w:t>
      </w:r>
      <w:r w:rsidRPr="002C4AC3">
        <w:t>inter-agency Task Force on International Trade Statistics (TFITS)</w:t>
      </w:r>
      <w:r>
        <w:t xml:space="preserve"> is developing a typology on digital trade that will serve as input into the G20 </w:t>
      </w:r>
      <w:r w:rsidRPr="003B75DF">
        <w:t>Trade and Investment Working Group</w:t>
      </w:r>
      <w:r>
        <w:t>.</w:t>
      </w:r>
    </w:p>
    <w:p w14:paraId="1AB863BA" w14:textId="775561B6" w:rsidR="00C54D03" w:rsidRPr="00C54D03" w:rsidRDefault="00C54D03" w:rsidP="00C54D03">
      <w:pPr>
        <w:pStyle w:val="Default"/>
        <w:rPr>
          <w:rFonts w:asciiTheme="minorHAnsi" w:hAnsiTheme="minorHAnsi"/>
          <w:b/>
          <w:i/>
          <w:sz w:val="20"/>
          <w:szCs w:val="20"/>
        </w:rPr>
      </w:pPr>
      <w:r w:rsidRPr="00C54D03">
        <w:rPr>
          <w:rFonts w:asciiTheme="minorHAnsi" w:hAnsiTheme="minorHAnsi"/>
          <w:b/>
          <w:i/>
          <w:sz w:val="20"/>
          <w:szCs w:val="20"/>
        </w:rPr>
        <w:t>Document drafted by Mark Uhrbach, Statistics Canada</w:t>
      </w:r>
    </w:p>
    <w:p w14:paraId="235CCFE3" w14:textId="77777777" w:rsidR="00C54D03" w:rsidRDefault="00C54D03">
      <w:pPr>
        <w:rPr>
          <w:b/>
          <w:i/>
          <w:sz w:val="24"/>
          <w:szCs w:val="24"/>
        </w:rPr>
      </w:pPr>
    </w:p>
    <w:p w14:paraId="56FF70ED" w14:textId="77777777" w:rsidR="001664A2" w:rsidRPr="006D7EE6" w:rsidRDefault="00F96C20">
      <w:pPr>
        <w:rPr>
          <w:b/>
          <w:i/>
          <w:sz w:val="24"/>
          <w:szCs w:val="24"/>
        </w:rPr>
      </w:pPr>
      <w:r w:rsidRPr="006D7EE6">
        <w:rPr>
          <w:b/>
          <w:i/>
          <w:sz w:val="24"/>
          <w:szCs w:val="24"/>
        </w:rPr>
        <w:t>Reference Documents</w:t>
      </w:r>
    </w:p>
    <w:p w14:paraId="209C1821" w14:textId="064CE456" w:rsidR="008214D8" w:rsidRDefault="008214D8" w:rsidP="008214D8">
      <w:pPr>
        <w:pStyle w:val="Default"/>
        <w:rPr>
          <w:rFonts w:asciiTheme="minorHAnsi" w:hAnsiTheme="minorHAnsi"/>
          <w:b/>
          <w:sz w:val="20"/>
          <w:szCs w:val="20"/>
        </w:rPr>
      </w:pPr>
      <w:r w:rsidRPr="00B357A3">
        <w:rPr>
          <w:rFonts w:asciiTheme="minorHAnsi" w:hAnsiTheme="minorHAnsi"/>
          <w:b/>
          <w:sz w:val="20"/>
          <w:szCs w:val="20"/>
        </w:rPr>
        <w:t>Going Digital June 2017 Information Note</w:t>
      </w:r>
      <w:r w:rsidR="00C54CF6">
        <w:rPr>
          <w:rFonts w:asciiTheme="minorHAnsi" w:hAnsiTheme="minorHAnsi"/>
          <w:b/>
          <w:sz w:val="20"/>
          <w:szCs w:val="20"/>
        </w:rPr>
        <w:t>:</w:t>
      </w:r>
    </w:p>
    <w:p w14:paraId="78540E47" w14:textId="77777777" w:rsidR="00CF05C0" w:rsidRDefault="00CF05C0" w:rsidP="008214D8">
      <w:pPr>
        <w:pStyle w:val="Default"/>
        <w:rPr>
          <w:rFonts w:asciiTheme="minorHAnsi" w:hAnsiTheme="minorHAnsi"/>
          <w:b/>
          <w:sz w:val="20"/>
          <w:szCs w:val="20"/>
        </w:rPr>
      </w:pPr>
    </w:p>
    <w:p w14:paraId="6E5348C3" w14:textId="77777777" w:rsidR="00CF05C0" w:rsidRPr="00B357A3" w:rsidRDefault="00C54D03" w:rsidP="008214D8">
      <w:pPr>
        <w:pStyle w:val="Default"/>
        <w:rPr>
          <w:rFonts w:asciiTheme="minorHAnsi" w:hAnsiTheme="minorHAnsi"/>
          <w:b/>
          <w:sz w:val="20"/>
          <w:szCs w:val="20"/>
        </w:rPr>
      </w:pPr>
      <w:r>
        <w:rPr>
          <w:rFonts w:asciiTheme="minorHAnsi" w:hAnsiTheme="minorHAnsi"/>
          <w:b/>
          <w:sz w:val="20"/>
          <w:szCs w:val="20"/>
        </w:rPr>
        <w:object w:dxaOrig="1551" w:dyaOrig="991" w14:anchorId="7FE5EF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AcroExch.Document.11" ShapeID="_x0000_i1025" DrawAspect="Icon" ObjectID="_1569757711" r:id="rId9"/>
        </w:object>
      </w:r>
    </w:p>
    <w:p w14:paraId="3A88348B" w14:textId="77777777" w:rsidR="00C54CF6" w:rsidRDefault="00C54CF6" w:rsidP="00CF05C0">
      <w:pPr>
        <w:pStyle w:val="Default"/>
        <w:rPr>
          <w:rFonts w:asciiTheme="minorHAnsi" w:hAnsiTheme="minorHAnsi"/>
          <w:b/>
          <w:sz w:val="20"/>
          <w:szCs w:val="20"/>
        </w:rPr>
      </w:pPr>
    </w:p>
    <w:p w14:paraId="091DC85C" w14:textId="77777777" w:rsidR="00CF05C0" w:rsidRDefault="00CF05C0" w:rsidP="00CF05C0">
      <w:pPr>
        <w:pStyle w:val="Default"/>
        <w:rPr>
          <w:rFonts w:asciiTheme="minorHAnsi" w:hAnsiTheme="minorHAnsi"/>
          <w:b/>
          <w:sz w:val="20"/>
          <w:szCs w:val="20"/>
        </w:rPr>
      </w:pPr>
      <w:r w:rsidRPr="00B357A3">
        <w:rPr>
          <w:rFonts w:asciiTheme="minorHAnsi" w:hAnsiTheme="minorHAnsi"/>
          <w:b/>
          <w:sz w:val="20"/>
          <w:szCs w:val="20"/>
        </w:rPr>
        <w:t xml:space="preserve">Vectors of Digital Transformation     </w:t>
      </w:r>
    </w:p>
    <w:p w14:paraId="0F3BEDC8" w14:textId="3CF037DE" w:rsidR="00CF05C0" w:rsidRDefault="00CF05C0" w:rsidP="00CF05C0">
      <w:pPr>
        <w:pStyle w:val="Default"/>
        <w:rPr>
          <w:rFonts w:asciiTheme="minorHAnsi" w:hAnsiTheme="minorHAnsi"/>
          <w:b/>
          <w:sz w:val="20"/>
          <w:szCs w:val="20"/>
        </w:rPr>
      </w:pPr>
      <w:r>
        <w:rPr>
          <w:rFonts w:asciiTheme="minorHAnsi" w:hAnsiTheme="minorHAnsi"/>
          <w:b/>
          <w:sz w:val="20"/>
          <w:szCs w:val="20"/>
        </w:rPr>
        <w:t xml:space="preserve">Available on </w:t>
      </w:r>
      <w:r w:rsidRPr="00B357A3">
        <w:rPr>
          <w:rFonts w:asciiTheme="minorHAnsi" w:hAnsiTheme="minorHAnsi"/>
          <w:b/>
          <w:sz w:val="20"/>
          <w:szCs w:val="20"/>
        </w:rPr>
        <w:t xml:space="preserve">OLIS: </w:t>
      </w:r>
      <w:r w:rsidRPr="00DC6246">
        <w:rPr>
          <w:rFonts w:asciiTheme="minorHAnsi" w:hAnsiTheme="minorHAnsi"/>
          <w:b/>
          <w:color w:val="5B9BD5" w:themeColor="accent1"/>
          <w:sz w:val="20"/>
          <w:szCs w:val="20"/>
        </w:rPr>
        <w:t>DSTI/CDEP/</w:t>
      </w:r>
      <w:proofErr w:type="gramStart"/>
      <w:r w:rsidRPr="00DC6246">
        <w:rPr>
          <w:rFonts w:asciiTheme="minorHAnsi" w:hAnsiTheme="minorHAnsi"/>
          <w:b/>
          <w:color w:val="5B9BD5" w:themeColor="accent1"/>
          <w:sz w:val="20"/>
          <w:szCs w:val="20"/>
        </w:rPr>
        <w:t>GD(</w:t>
      </w:r>
      <w:proofErr w:type="gramEnd"/>
      <w:r w:rsidRPr="00DC6246">
        <w:rPr>
          <w:rFonts w:asciiTheme="minorHAnsi" w:hAnsiTheme="minorHAnsi"/>
          <w:b/>
          <w:color w:val="5B9BD5" w:themeColor="accent1"/>
          <w:sz w:val="20"/>
          <w:szCs w:val="20"/>
        </w:rPr>
        <w:t>2017)4</w:t>
      </w:r>
    </w:p>
    <w:p w14:paraId="16548D8B" w14:textId="77777777" w:rsidR="00C54CF6" w:rsidRDefault="00C54CF6" w:rsidP="00CF05C0">
      <w:pPr>
        <w:pStyle w:val="Default"/>
        <w:rPr>
          <w:rFonts w:asciiTheme="minorHAnsi" w:hAnsiTheme="minorHAnsi"/>
          <w:b/>
          <w:sz w:val="20"/>
          <w:szCs w:val="20"/>
        </w:rPr>
      </w:pPr>
    </w:p>
    <w:p w14:paraId="071979B1" w14:textId="0E921F28" w:rsidR="00B357A3" w:rsidRPr="00DC6246" w:rsidRDefault="00C54D03" w:rsidP="008214D8">
      <w:pPr>
        <w:pStyle w:val="Default"/>
        <w:rPr>
          <w:rFonts w:asciiTheme="minorHAnsi" w:hAnsiTheme="minorHAnsi"/>
          <w:b/>
          <w:sz w:val="20"/>
          <w:szCs w:val="20"/>
        </w:rPr>
      </w:pPr>
      <w:r>
        <w:rPr>
          <w:rFonts w:asciiTheme="minorHAnsi" w:hAnsiTheme="minorHAnsi"/>
          <w:b/>
          <w:sz w:val="20"/>
          <w:szCs w:val="20"/>
        </w:rPr>
        <w:object w:dxaOrig="1551" w:dyaOrig="991" w14:anchorId="6B65BBE4">
          <v:shape id="_x0000_i1026" type="#_x0000_t75" style="width:77.25pt;height:49.5pt" o:ole="">
            <v:imagedata r:id="rId10" o:title=""/>
          </v:shape>
          <o:OLEObject Type="Embed" ProgID="AcroExch.Document.11" ShapeID="_x0000_i1026" DrawAspect="Icon" ObjectID="_1569757712" r:id="rId11"/>
        </w:object>
      </w:r>
    </w:p>
    <w:p w14:paraId="775E3FA2" w14:textId="77777777" w:rsidR="006D7EE6" w:rsidRPr="006D7EE6" w:rsidRDefault="006D7EE6" w:rsidP="006D7EE6">
      <w:pPr>
        <w:autoSpaceDE w:val="0"/>
        <w:autoSpaceDN w:val="0"/>
        <w:adjustRightInd w:val="0"/>
        <w:spacing w:after="0" w:line="240" w:lineRule="auto"/>
        <w:rPr>
          <w:rFonts w:ascii="Times New Roman" w:hAnsi="Times New Roman" w:cs="Times New Roman"/>
          <w:color w:val="000000"/>
          <w:sz w:val="24"/>
          <w:szCs w:val="24"/>
        </w:rPr>
      </w:pPr>
    </w:p>
    <w:p w14:paraId="75BC1CDD" w14:textId="77777777" w:rsidR="006D7EE6" w:rsidRDefault="006D7EE6" w:rsidP="006D7EE6">
      <w:pPr>
        <w:pStyle w:val="Default"/>
        <w:rPr>
          <w:rFonts w:asciiTheme="minorHAnsi" w:hAnsiTheme="minorHAnsi"/>
          <w:b/>
          <w:sz w:val="20"/>
          <w:szCs w:val="20"/>
        </w:rPr>
      </w:pPr>
      <w:r w:rsidRPr="006D7EE6">
        <w:rPr>
          <w:rFonts w:asciiTheme="minorHAnsi" w:hAnsiTheme="minorHAnsi"/>
          <w:b/>
          <w:sz w:val="20"/>
          <w:szCs w:val="20"/>
        </w:rPr>
        <w:t xml:space="preserve">Inventory of Planned 2017-18 PWB Outputs Relevant to the Going Digital Horizontal Project </w:t>
      </w:r>
      <w:r>
        <w:rPr>
          <w:rFonts w:asciiTheme="minorHAnsi" w:hAnsiTheme="minorHAnsi"/>
          <w:b/>
          <w:sz w:val="20"/>
          <w:szCs w:val="20"/>
        </w:rPr>
        <w:t xml:space="preserve">  </w:t>
      </w:r>
    </w:p>
    <w:p w14:paraId="4CAC4398" w14:textId="370CEF80" w:rsidR="006D7EE6" w:rsidRDefault="00C54CF6" w:rsidP="006D7EE6">
      <w:pPr>
        <w:pStyle w:val="Default"/>
        <w:rPr>
          <w:rFonts w:asciiTheme="minorHAnsi" w:hAnsiTheme="minorHAnsi"/>
          <w:b/>
          <w:sz w:val="20"/>
          <w:szCs w:val="20"/>
        </w:rPr>
      </w:pPr>
      <w:r>
        <w:rPr>
          <w:rFonts w:asciiTheme="minorHAnsi" w:hAnsiTheme="minorHAnsi"/>
          <w:b/>
          <w:sz w:val="20"/>
          <w:szCs w:val="20"/>
        </w:rPr>
        <w:t xml:space="preserve">Available on </w:t>
      </w:r>
      <w:r w:rsidR="006D7EE6">
        <w:rPr>
          <w:rFonts w:asciiTheme="minorHAnsi" w:hAnsiTheme="minorHAnsi"/>
          <w:b/>
          <w:sz w:val="20"/>
          <w:szCs w:val="20"/>
        </w:rPr>
        <w:t>OLIS:</w:t>
      </w:r>
      <w:r w:rsidR="006D7EE6" w:rsidRPr="006D7EE6">
        <w:t xml:space="preserve"> </w:t>
      </w:r>
      <w:r w:rsidR="006D7EE6" w:rsidRPr="00DC6246">
        <w:rPr>
          <w:rFonts w:asciiTheme="minorHAnsi" w:hAnsiTheme="minorHAnsi"/>
          <w:b/>
          <w:color w:val="5B9BD5" w:themeColor="accent1"/>
          <w:sz w:val="20"/>
          <w:szCs w:val="20"/>
        </w:rPr>
        <w:t>DSTI/CDEP/GD/</w:t>
      </w:r>
      <w:proofErr w:type="gramStart"/>
      <w:r w:rsidR="006D7EE6" w:rsidRPr="00DC6246">
        <w:rPr>
          <w:rFonts w:asciiTheme="minorHAnsi" w:hAnsiTheme="minorHAnsi"/>
          <w:b/>
          <w:color w:val="5B9BD5" w:themeColor="accent1"/>
          <w:sz w:val="20"/>
          <w:szCs w:val="20"/>
        </w:rPr>
        <w:t>RD(</w:t>
      </w:r>
      <w:proofErr w:type="gramEnd"/>
      <w:r w:rsidR="006D7EE6" w:rsidRPr="00DC6246">
        <w:rPr>
          <w:rFonts w:asciiTheme="minorHAnsi" w:hAnsiTheme="minorHAnsi"/>
          <w:b/>
          <w:color w:val="5B9BD5" w:themeColor="accent1"/>
          <w:sz w:val="20"/>
          <w:szCs w:val="20"/>
        </w:rPr>
        <w:t>2017)1</w:t>
      </w:r>
    </w:p>
    <w:p w14:paraId="38E61828" w14:textId="77777777" w:rsidR="00DC6246" w:rsidRDefault="00DC6246" w:rsidP="006D7EE6">
      <w:pPr>
        <w:pStyle w:val="Default"/>
        <w:rPr>
          <w:rFonts w:asciiTheme="minorHAnsi" w:hAnsiTheme="minorHAnsi"/>
          <w:b/>
          <w:sz w:val="20"/>
          <w:szCs w:val="20"/>
        </w:rPr>
      </w:pPr>
    </w:p>
    <w:p w14:paraId="6E3999F5" w14:textId="77777777" w:rsidR="00DC6246" w:rsidRPr="006D7EE6" w:rsidRDefault="00DC6246" w:rsidP="006D7EE6">
      <w:pPr>
        <w:pStyle w:val="Default"/>
      </w:pPr>
      <w:r>
        <w:object w:dxaOrig="1551" w:dyaOrig="991" w14:anchorId="32D44DA2">
          <v:shape id="_x0000_i1027" type="#_x0000_t75" style="width:77.25pt;height:49.5pt" o:ole="">
            <v:imagedata r:id="rId12" o:title=""/>
          </v:shape>
          <o:OLEObject Type="Embed" ProgID="AcroExch.Document.11" ShapeID="_x0000_i1027" DrawAspect="Icon" ObjectID="_1569757713" r:id="rId13"/>
        </w:object>
      </w:r>
    </w:p>
    <w:p w14:paraId="07A9FB0F" w14:textId="15B2FC9F" w:rsidR="00B357A3" w:rsidRDefault="00B357A3" w:rsidP="008214D8">
      <w:pPr>
        <w:pStyle w:val="Default"/>
        <w:rPr>
          <w:rFonts w:asciiTheme="minorHAnsi" w:hAnsiTheme="minorHAnsi"/>
          <w:sz w:val="20"/>
          <w:szCs w:val="20"/>
        </w:rPr>
      </w:pPr>
    </w:p>
    <w:p w14:paraId="0AB60CE4" w14:textId="4FBCB6CA" w:rsidR="00DC6246" w:rsidRPr="00DC6246" w:rsidRDefault="00DC6246" w:rsidP="00DC6246">
      <w:pPr>
        <w:pStyle w:val="Default"/>
        <w:rPr>
          <w:rFonts w:asciiTheme="minorHAnsi" w:hAnsiTheme="minorHAnsi"/>
          <w:b/>
          <w:sz w:val="20"/>
          <w:szCs w:val="20"/>
        </w:rPr>
      </w:pPr>
      <w:r w:rsidRPr="00DC6246">
        <w:rPr>
          <w:rFonts w:asciiTheme="minorHAnsi" w:hAnsiTheme="minorHAnsi"/>
          <w:b/>
          <w:sz w:val="20"/>
          <w:szCs w:val="20"/>
        </w:rPr>
        <w:t>Going Digital Project – State of Play</w:t>
      </w:r>
    </w:p>
    <w:p w14:paraId="258A737B" w14:textId="3285A387" w:rsidR="00DC6246" w:rsidRPr="00DC6246" w:rsidRDefault="00DC6246" w:rsidP="00DC6246">
      <w:pPr>
        <w:pStyle w:val="Default"/>
        <w:rPr>
          <w:rFonts w:asciiTheme="minorHAnsi" w:hAnsiTheme="minorHAnsi"/>
          <w:b/>
          <w:sz w:val="20"/>
          <w:szCs w:val="20"/>
        </w:rPr>
      </w:pPr>
      <w:r w:rsidRPr="00DC6246">
        <w:rPr>
          <w:rFonts w:asciiTheme="minorHAnsi" w:hAnsiTheme="minorHAnsi"/>
          <w:b/>
          <w:sz w:val="20"/>
          <w:szCs w:val="20"/>
        </w:rPr>
        <w:t xml:space="preserve">Available on OLIS: </w:t>
      </w:r>
      <w:r w:rsidRPr="00DC6246">
        <w:rPr>
          <w:rFonts w:asciiTheme="minorHAnsi" w:hAnsiTheme="minorHAnsi"/>
          <w:b/>
          <w:bCs/>
          <w:color w:val="5B9BD5" w:themeColor="accent1"/>
          <w:sz w:val="20"/>
          <w:szCs w:val="20"/>
        </w:rPr>
        <w:t>DSTI/CDEP/</w:t>
      </w:r>
      <w:proofErr w:type="gramStart"/>
      <w:r w:rsidRPr="00DC6246">
        <w:rPr>
          <w:rFonts w:asciiTheme="minorHAnsi" w:hAnsiTheme="minorHAnsi"/>
          <w:b/>
          <w:bCs/>
          <w:color w:val="5B9BD5" w:themeColor="accent1"/>
          <w:sz w:val="20"/>
          <w:szCs w:val="20"/>
        </w:rPr>
        <w:t>GD(</w:t>
      </w:r>
      <w:proofErr w:type="gramEnd"/>
      <w:r w:rsidRPr="00DC6246">
        <w:rPr>
          <w:rFonts w:asciiTheme="minorHAnsi" w:hAnsiTheme="minorHAnsi"/>
          <w:b/>
          <w:bCs/>
          <w:color w:val="5B9BD5" w:themeColor="accent1"/>
          <w:sz w:val="20"/>
          <w:szCs w:val="20"/>
        </w:rPr>
        <w:t>2017)8</w:t>
      </w:r>
    </w:p>
    <w:p w14:paraId="1F1123F3" w14:textId="77777777" w:rsidR="006D7EE6" w:rsidRDefault="006D7EE6" w:rsidP="008214D8">
      <w:pPr>
        <w:pStyle w:val="Default"/>
        <w:rPr>
          <w:rFonts w:asciiTheme="minorHAnsi" w:hAnsiTheme="minorHAnsi"/>
          <w:sz w:val="20"/>
          <w:szCs w:val="20"/>
        </w:rPr>
      </w:pPr>
    </w:p>
    <w:p w14:paraId="66928617" w14:textId="77777777" w:rsidR="00DC6246" w:rsidRDefault="00DC6246" w:rsidP="008214D8">
      <w:pPr>
        <w:pStyle w:val="Default"/>
        <w:rPr>
          <w:rFonts w:asciiTheme="minorHAnsi" w:hAnsiTheme="minorHAnsi"/>
          <w:sz w:val="20"/>
          <w:szCs w:val="20"/>
        </w:rPr>
      </w:pPr>
      <w:r>
        <w:rPr>
          <w:rFonts w:asciiTheme="minorHAnsi" w:hAnsiTheme="minorHAnsi"/>
          <w:sz w:val="20"/>
          <w:szCs w:val="20"/>
        </w:rPr>
        <w:object w:dxaOrig="1551" w:dyaOrig="991" w14:anchorId="1E2F0CA1">
          <v:shape id="_x0000_i1028" type="#_x0000_t75" style="width:77.25pt;height:49.5pt" o:ole="">
            <v:imagedata r:id="rId14" o:title=""/>
          </v:shape>
          <o:OLEObject Type="Embed" ProgID="AcroExch.Document.11" ShapeID="_x0000_i1028" DrawAspect="Icon" ObjectID="_1569757714" r:id="rId15"/>
        </w:object>
      </w:r>
    </w:p>
    <w:p w14:paraId="4549E88A" w14:textId="77777777" w:rsidR="00C54D03" w:rsidRDefault="00C54D03" w:rsidP="008214D8">
      <w:pPr>
        <w:pStyle w:val="Default"/>
        <w:rPr>
          <w:rFonts w:asciiTheme="minorHAnsi" w:hAnsiTheme="minorHAnsi"/>
          <w:b/>
          <w:i/>
        </w:rPr>
      </w:pPr>
    </w:p>
    <w:p w14:paraId="6F9CEF46" w14:textId="77777777" w:rsidR="00B357A3" w:rsidRPr="00C54D03" w:rsidRDefault="00B357A3" w:rsidP="008214D8">
      <w:pPr>
        <w:pStyle w:val="Default"/>
        <w:rPr>
          <w:rFonts w:asciiTheme="minorHAnsi" w:hAnsiTheme="minorHAnsi"/>
          <w:b/>
          <w:i/>
          <w:sz w:val="28"/>
          <w:szCs w:val="28"/>
        </w:rPr>
      </w:pPr>
      <w:r w:rsidRPr="00C54D03">
        <w:rPr>
          <w:rFonts w:asciiTheme="minorHAnsi" w:hAnsiTheme="minorHAnsi"/>
          <w:b/>
          <w:i/>
          <w:sz w:val="28"/>
          <w:szCs w:val="28"/>
        </w:rPr>
        <w:t>Annex 1</w:t>
      </w:r>
    </w:p>
    <w:p w14:paraId="72945400" w14:textId="77777777" w:rsidR="00B357A3" w:rsidRDefault="00B357A3" w:rsidP="008214D8">
      <w:pPr>
        <w:pStyle w:val="Default"/>
        <w:rPr>
          <w:rFonts w:asciiTheme="minorHAnsi" w:hAnsiTheme="minorHAnsi"/>
          <w:sz w:val="20"/>
          <w:szCs w:val="20"/>
        </w:rPr>
      </w:pPr>
      <w:r w:rsidRPr="00B357A3">
        <w:rPr>
          <w:rFonts w:asciiTheme="minorHAnsi" w:hAnsiTheme="minorHAnsi"/>
          <w:noProof/>
          <w:sz w:val="20"/>
          <w:szCs w:val="20"/>
          <w:lang w:eastAsia="en-CA"/>
        </w:rPr>
        <w:drawing>
          <wp:inline distT="0" distB="0" distL="0" distR="0" wp14:anchorId="05A79675" wp14:editId="0943B17B">
            <wp:extent cx="5964064" cy="388620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
                    <a:stretch>
                      <a:fillRect/>
                    </a:stretch>
                  </pic:blipFill>
                  <pic:spPr>
                    <a:xfrm>
                      <a:off x="0" y="0"/>
                      <a:ext cx="5992552" cy="3904763"/>
                    </a:xfrm>
                    <a:prstGeom prst="rect">
                      <a:avLst/>
                    </a:prstGeom>
                  </pic:spPr>
                </pic:pic>
              </a:graphicData>
            </a:graphic>
          </wp:inline>
        </w:drawing>
      </w:r>
    </w:p>
    <w:p w14:paraId="3F6782B4" w14:textId="77777777" w:rsidR="009E21F4" w:rsidRDefault="009E21F4" w:rsidP="008214D8">
      <w:pPr>
        <w:pStyle w:val="Default"/>
        <w:rPr>
          <w:rFonts w:asciiTheme="minorHAnsi" w:hAnsiTheme="minorHAnsi"/>
          <w:sz w:val="20"/>
          <w:szCs w:val="20"/>
        </w:rPr>
      </w:pPr>
    </w:p>
    <w:p w14:paraId="010E133A" w14:textId="77777777" w:rsidR="009E21F4" w:rsidRDefault="009E21F4" w:rsidP="008214D8">
      <w:pPr>
        <w:pStyle w:val="Default"/>
        <w:rPr>
          <w:rFonts w:asciiTheme="minorHAnsi" w:hAnsiTheme="minorHAnsi"/>
          <w:sz w:val="20"/>
          <w:szCs w:val="20"/>
        </w:rPr>
      </w:pPr>
    </w:p>
    <w:p w14:paraId="140457C3" w14:textId="77777777" w:rsidR="009E21F4" w:rsidRPr="00B357A3" w:rsidRDefault="009E21F4" w:rsidP="008214D8">
      <w:pPr>
        <w:pStyle w:val="Default"/>
        <w:rPr>
          <w:rFonts w:asciiTheme="minorHAnsi" w:hAnsiTheme="minorHAnsi"/>
          <w:sz w:val="20"/>
          <w:szCs w:val="20"/>
        </w:rPr>
      </w:pPr>
    </w:p>
    <w:sectPr w:rsidR="009E21F4" w:rsidRPr="00B357A3" w:rsidSect="00C54D03">
      <w:headerReference w:type="even" r:id="rId17"/>
      <w:headerReference w:type="default" r:id="rId18"/>
      <w:footerReference w:type="even" r:id="rId19"/>
      <w:footerReference w:type="default" r:id="rId20"/>
      <w:headerReference w:type="first" r:id="rId21"/>
      <w:footerReference w:type="first" r:id="rId22"/>
      <w:pgSz w:w="12240" w:h="15840"/>
      <w:pgMar w:top="1135"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CC1F5F" w14:textId="77777777" w:rsidR="00B65ACB" w:rsidRDefault="00B65ACB" w:rsidP="00B65ACB">
      <w:pPr>
        <w:spacing w:after="0" w:line="240" w:lineRule="auto"/>
      </w:pPr>
      <w:r>
        <w:separator/>
      </w:r>
    </w:p>
  </w:endnote>
  <w:endnote w:type="continuationSeparator" w:id="0">
    <w:p w14:paraId="7D107FD9" w14:textId="77777777" w:rsidR="00B65ACB" w:rsidRDefault="00B65ACB" w:rsidP="00B65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DBD7A" w14:textId="77777777" w:rsidR="00B65ACB" w:rsidRDefault="00B65A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2BDC9" w14:textId="77777777" w:rsidR="00B65ACB" w:rsidRDefault="00B65AC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ABB1D7" w14:textId="77777777" w:rsidR="00B65ACB" w:rsidRDefault="00B65A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FFD472" w14:textId="77777777" w:rsidR="00B65ACB" w:rsidRDefault="00B65ACB" w:rsidP="00B65ACB">
      <w:pPr>
        <w:spacing w:after="0" w:line="240" w:lineRule="auto"/>
      </w:pPr>
      <w:r>
        <w:separator/>
      </w:r>
    </w:p>
  </w:footnote>
  <w:footnote w:type="continuationSeparator" w:id="0">
    <w:p w14:paraId="71624CF9" w14:textId="77777777" w:rsidR="00B65ACB" w:rsidRDefault="00B65ACB" w:rsidP="00B65A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23939" w14:textId="77777777" w:rsidR="00B65ACB" w:rsidRDefault="00B65AC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6437494"/>
      <w:docPartObj>
        <w:docPartGallery w:val="Watermarks"/>
        <w:docPartUnique/>
      </w:docPartObj>
    </w:sdtPr>
    <w:sdtEndPr/>
    <w:sdtContent>
      <w:p w14:paraId="6DF5CBCD" w14:textId="43EBED34" w:rsidR="00B65ACB" w:rsidRDefault="00931E26">
        <w:pPr>
          <w:pStyle w:val="Header"/>
        </w:pPr>
        <w:r>
          <w:rPr>
            <w:noProof/>
            <w:lang w:val="en-US"/>
          </w:rPr>
          <w:pict w14:anchorId="5C217B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726533" o:spid="_x0000_s2049" type="#_x0000_t136" style="position:absolute;margin-left:0;margin-top:0;width:543.35pt;height:116.4pt;rotation:315;z-index:-251658752;mso-position-horizontal:center;mso-position-horizontal-relative:margin;mso-position-vertical:center;mso-position-vertical-relative:margin" o:allowincell="f" fillcolor="silver" stroked="f">
              <v:fill opacity=".5"/>
              <v:textpath style="font-family:&quot;Calibri&quot;;font-size:1pt" string="For Information"/>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0CC7F" w14:textId="77777777" w:rsidR="00B65ACB" w:rsidRDefault="00B65A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4272E6B"/>
    <w:multiLevelType w:val="hybridMultilevel"/>
    <w:tmpl w:val="C436E31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575C2367"/>
    <w:multiLevelType w:val="hybridMultilevel"/>
    <w:tmpl w:val="988CC2DA"/>
    <w:lvl w:ilvl="0" w:tplc="9D78A01E">
      <w:start w:val="1"/>
      <w:numFmt w:val="bullet"/>
      <w:lvlText w:val="•"/>
      <w:lvlJc w:val="left"/>
      <w:pPr>
        <w:tabs>
          <w:tab w:val="num" w:pos="720"/>
        </w:tabs>
        <w:ind w:left="720" w:hanging="360"/>
      </w:pPr>
      <w:rPr>
        <w:rFonts w:ascii="Times New Roman" w:hAnsi="Times New Roman" w:hint="default"/>
      </w:rPr>
    </w:lvl>
    <w:lvl w:ilvl="1" w:tplc="36E2EEC8">
      <w:start w:val="1"/>
      <w:numFmt w:val="bullet"/>
      <w:lvlText w:val="•"/>
      <w:lvlJc w:val="left"/>
      <w:pPr>
        <w:tabs>
          <w:tab w:val="num" w:pos="1440"/>
        </w:tabs>
        <w:ind w:left="1440" w:hanging="360"/>
      </w:pPr>
      <w:rPr>
        <w:rFonts w:ascii="Times New Roman" w:hAnsi="Times New Roman" w:hint="default"/>
      </w:rPr>
    </w:lvl>
    <w:lvl w:ilvl="2" w:tplc="FB6CF7B8" w:tentative="1">
      <w:start w:val="1"/>
      <w:numFmt w:val="bullet"/>
      <w:lvlText w:val="•"/>
      <w:lvlJc w:val="left"/>
      <w:pPr>
        <w:tabs>
          <w:tab w:val="num" w:pos="2160"/>
        </w:tabs>
        <w:ind w:left="2160" w:hanging="360"/>
      </w:pPr>
      <w:rPr>
        <w:rFonts w:ascii="Times New Roman" w:hAnsi="Times New Roman" w:hint="default"/>
      </w:rPr>
    </w:lvl>
    <w:lvl w:ilvl="3" w:tplc="F9D4C292" w:tentative="1">
      <w:start w:val="1"/>
      <w:numFmt w:val="bullet"/>
      <w:lvlText w:val="•"/>
      <w:lvlJc w:val="left"/>
      <w:pPr>
        <w:tabs>
          <w:tab w:val="num" w:pos="2880"/>
        </w:tabs>
        <w:ind w:left="2880" w:hanging="360"/>
      </w:pPr>
      <w:rPr>
        <w:rFonts w:ascii="Times New Roman" w:hAnsi="Times New Roman" w:hint="default"/>
      </w:rPr>
    </w:lvl>
    <w:lvl w:ilvl="4" w:tplc="EE561E30" w:tentative="1">
      <w:start w:val="1"/>
      <w:numFmt w:val="bullet"/>
      <w:lvlText w:val="•"/>
      <w:lvlJc w:val="left"/>
      <w:pPr>
        <w:tabs>
          <w:tab w:val="num" w:pos="3600"/>
        </w:tabs>
        <w:ind w:left="3600" w:hanging="360"/>
      </w:pPr>
      <w:rPr>
        <w:rFonts w:ascii="Times New Roman" w:hAnsi="Times New Roman" w:hint="default"/>
      </w:rPr>
    </w:lvl>
    <w:lvl w:ilvl="5" w:tplc="9A5A1120" w:tentative="1">
      <w:start w:val="1"/>
      <w:numFmt w:val="bullet"/>
      <w:lvlText w:val="•"/>
      <w:lvlJc w:val="left"/>
      <w:pPr>
        <w:tabs>
          <w:tab w:val="num" w:pos="4320"/>
        </w:tabs>
        <w:ind w:left="4320" w:hanging="360"/>
      </w:pPr>
      <w:rPr>
        <w:rFonts w:ascii="Times New Roman" w:hAnsi="Times New Roman" w:hint="default"/>
      </w:rPr>
    </w:lvl>
    <w:lvl w:ilvl="6" w:tplc="63A89EE0" w:tentative="1">
      <w:start w:val="1"/>
      <w:numFmt w:val="bullet"/>
      <w:lvlText w:val="•"/>
      <w:lvlJc w:val="left"/>
      <w:pPr>
        <w:tabs>
          <w:tab w:val="num" w:pos="5040"/>
        </w:tabs>
        <w:ind w:left="5040" w:hanging="360"/>
      </w:pPr>
      <w:rPr>
        <w:rFonts w:ascii="Times New Roman" w:hAnsi="Times New Roman" w:hint="default"/>
      </w:rPr>
    </w:lvl>
    <w:lvl w:ilvl="7" w:tplc="6308BFEC" w:tentative="1">
      <w:start w:val="1"/>
      <w:numFmt w:val="bullet"/>
      <w:lvlText w:val="•"/>
      <w:lvlJc w:val="left"/>
      <w:pPr>
        <w:tabs>
          <w:tab w:val="num" w:pos="5760"/>
        </w:tabs>
        <w:ind w:left="5760" w:hanging="360"/>
      </w:pPr>
      <w:rPr>
        <w:rFonts w:ascii="Times New Roman" w:hAnsi="Times New Roman" w:hint="default"/>
      </w:rPr>
    </w:lvl>
    <w:lvl w:ilvl="8" w:tplc="30EE9490"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4A2"/>
    <w:rsid w:val="000B3770"/>
    <w:rsid w:val="000C1336"/>
    <w:rsid w:val="001664A2"/>
    <w:rsid w:val="001F2D8D"/>
    <w:rsid w:val="00211690"/>
    <w:rsid w:val="002267A7"/>
    <w:rsid w:val="00285962"/>
    <w:rsid w:val="002A20D7"/>
    <w:rsid w:val="003B75DF"/>
    <w:rsid w:val="0040153E"/>
    <w:rsid w:val="004A7A48"/>
    <w:rsid w:val="004C7286"/>
    <w:rsid w:val="004F3963"/>
    <w:rsid w:val="005C6913"/>
    <w:rsid w:val="00626B97"/>
    <w:rsid w:val="00684E9D"/>
    <w:rsid w:val="006C5C0E"/>
    <w:rsid w:val="006D7EE6"/>
    <w:rsid w:val="007D1CFE"/>
    <w:rsid w:val="007D57C2"/>
    <w:rsid w:val="007F330E"/>
    <w:rsid w:val="008214D8"/>
    <w:rsid w:val="00931E26"/>
    <w:rsid w:val="009E21F4"/>
    <w:rsid w:val="009F650E"/>
    <w:rsid w:val="00A036C3"/>
    <w:rsid w:val="00AB612A"/>
    <w:rsid w:val="00B05BF5"/>
    <w:rsid w:val="00B208C4"/>
    <w:rsid w:val="00B357A3"/>
    <w:rsid w:val="00B65ACB"/>
    <w:rsid w:val="00BA33F6"/>
    <w:rsid w:val="00C54CF6"/>
    <w:rsid w:val="00C54D03"/>
    <w:rsid w:val="00CF05C0"/>
    <w:rsid w:val="00D06EA7"/>
    <w:rsid w:val="00DC6246"/>
    <w:rsid w:val="00E86B30"/>
    <w:rsid w:val="00F106E4"/>
    <w:rsid w:val="00F402C9"/>
    <w:rsid w:val="00F64E61"/>
    <w:rsid w:val="00F94127"/>
    <w:rsid w:val="00F96C2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06AE3ED"/>
  <w15:docId w15:val="{0A0591FA-34CD-4740-BF30-9779F761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402C9"/>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AB612A"/>
    <w:pPr>
      <w:ind w:left="720"/>
      <w:contextualSpacing/>
    </w:pPr>
  </w:style>
  <w:style w:type="character" w:styleId="Hyperlink">
    <w:name w:val="Hyperlink"/>
    <w:basedOn w:val="DefaultParagraphFont"/>
    <w:uiPriority w:val="99"/>
    <w:unhideWhenUsed/>
    <w:rsid w:val="008214D8"/>
    <w:rPr>
      <w:color w:val="0563C1" w:themeColor="hyperlink"/>
      <w:u w:val="single"/>
    </w:rPr>
  </w:style>
  <w:style w:type="character" w:styleId="FollowedHyperlink">
    <w:name w:val="FollowedHyperlink"/>
    <w:basedOn w:val="DefaultParagraphFont"/>
    <w:uiPriority w:val="99"/>
    <w:semiHidden/>
    <w:unhideWhenUsed/>
    <w:rsid w:val="008214D8"/>
    <w:rPr>
      <w:color w:val="954F72" w:themeColor="followedHyperlink"/>
      <w:u w:val="single"/>
    </w:rPr>
  </w:style>
  <w:style w:type="character" w:styleId="CommentReference">
    <w:name w:val="annotation reference"/>
    <w:basedOn w:val="DefaultParagraphFont"/>
    <w:uiPriority w:val="99"/>
    <w:semiHidden/>
    <w:unhideWhenUsed/>
    <w:rsid w:val="004C7286"/>
    <w:rPr>
      <w:sz w:val="16"/>
      <w:szCs w:val="16"/>
    </w:rPr>
  </w:style>
  <w:style w:type="paragraph" w:styleId="CommentText">
    <w:name w:val="annotation text"/>
    <w:basedOn w:val="Normal"/>
    <w:link w:val="CommentTextChar"/>
    <w:uiPriority w:val="99"/>
    <w:semiHidden/>
    <w:unhideWhenUsed/>
    <w:rsid w:val="004C7286"/>
    <w:pPr>
      <w:spacing w:line="240" w:lineRule="auto"/>
    </w:pPr>
    <w:rPr>
      <w:sz w:val="20"/>
      <w:szCs w:val="20"/>
    </w:rPr>
  </w:style>
  <w:style w:type="character" w:customStyle="1" w:styleId="CommentTextChar">
    <w:name w:val="Comment Text Char"/>
    <w:basedOn w:val="DefaultParagraphFont"/>
    <w:link w:val="CommentText"/>
    <w:uiPriority w:val="99"/>
    <w:semiHidden/>
    <w:rsid w:val="004C7286"/>
    <w:rPr>
      <w:sz w:val="20"/>
      <w:szCs w:val="20"/>
    </w:rPr>
  </w:style>
  <w:style w:type="paragraph" w:styleId="CommentSubject">
    <w:name w:val="annotation subject"/>
    <w:basedOn w:val="CommentText"/>
    <w:next w:val="CommentText"/>
    <w:link w:val="CommentSubjectChar"/>
    <w:uiPriority w:val="99"/>
    <w:semiHidden/>
    <w:unhideWhenUsed/>
    <w:rsid w:val="004C7286"/>
    <w:rPr>
      <w:b/>
      <w:bCs/>
    </w:rPr>
  </w:style>
  <w:style w:type="character" w:customStyle="1" w:styleId="CommentSubjectChar">
    <w:name w:val="Comment Subject Char"/>
    <w:basedOn w:val="CommentTextChar"/>
    <w:link w:val="CommentSubject"/>
    <w:uiPriority w:val="99"/>
    <w:semiHidden/>
    <w:rsid w:val="004C7286"/>
    <w:rPr>
      <w:b/>
      <w:bCs/>
      <w:sz w:val="20"/>
      <w:szCs w:val="20"/>
    </w:rPr>
  </w:style>
  <w:style w:type="paragraph" w:styleId="BalloonText">
    <w:name w:val="Balloon Text"/>
    <w:basedOn w:val="Normal"/>
    <w:link w:val="BalloonTextChar"/>
    <w:uiPriority w:val="99"/>
    <w:semiHidden/>
    <w:unhideWhenUsed/>
    <w:rsid w:val="004C72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7286"/>
    <w:rPr>
      <w:rFonts w:ascii="Segoe UI" w:hAnsi="Segoe UI" w:cs="Segoe UI"/>
      <w:sz w:val="18"/>
      <w:szCs w:val="18"/>
    </w:rPr>
  </w:style>
  <w:style w:type="paragraph" w:styleId="Header">
    <w:name w:val="header"/>
    <w:basedOn w:val="Normal"/>
    <w:link w:val="HeaderChar"/>
    <w:uiPriority w:val="99"/>
    <w:unhideWhenUsed/>
    <w:rsid w:val="00B65A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5ACB"/>
  </w:style>
  <w:style w:type="paragraph" w:styleId="Footer">
    <w:name w:val="footer"/>
    <w:basedOn w:val="Normal"/>
    <w:link w:val="FooterChar"/>
    <w:uiPriority w:val="99"/>
    <w:unhideWhenUsed/>
    <w:rsid w:val="00B65A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5A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9664420">
      <w:bodyDiv w:val="1"/>
      <w:marLeft w:val="0"/>
      <w:marRight w:val="0"/>
      <w:marTop w:val="0"/>
      <w:marBottom w:val="0"/>
      <w:divBdr>
        <w:top w:val="none" w:sz="0" w:space="0" w:color="auto"/>
        <w:left w:val="none" w:sz="0" w:space="0" w:color="auto"/>
        <w:bottom w:val="none" w:sz="0" w:space="0" w:color="auto"/>
        <w:right w:val="none" w:sz="0" w:space="0" w:color="auto"/>
      </w:divBdr>
      <w:divsChild>
        <w:div w:id="875386517">
          <w:marLeft w:val="1080"/>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C04CB-1297-4A90-B52F-686E6D0AC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771</Words>
  <Characters>4397</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StatCan</Company>
  <LinksUpToDate>false</LinksUpToDate>
  <CharactersWithSpaces>5158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Uhrbach</dc:creator>
  <cp:lastModifiedBy>Garneau, Mary Beth - PPD/DPP</cp:lastModifiedBy>
  <cp:revision>2</cp:revision>
  <cp:lastPrinted>2017-10-17T08:04:00Z</cp:lastPrinted>
  <dcterms:created xsi:type="dcterms:W3CDTF">2017-10-17T19:02:00Z</dcterms:created>
  <dcterms:modified xsi:type="dcterms:W3CDTF">2017-10-17T19:02:00Z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-1369717391</vt:i4>
  </property>
  <property fmtid="{D5CDD505-2E9C-101B-9397-08002B2CF9AE}" pid="4" name="_EmailSubject">
    <vt:lpwstr>Information paper for E-commerce session</vt:lpwstr>
  </property>
  <property fmtid="{D5CDD505-2E9C-101B-9397-08002B2CF9AE}" pid="5" name="_AuthorEmail">
    <vt:lpwstr>marybeth.garneau@canada.ca</vt:lpwstr>
  </property>
  <property fmtid="{D5CDD505-2E9C-101B-9397-08002B2CF9AE}" pid="6" name="_AuthorEmailDisplayName">
    <vt:lpwstr>Garneau, Mary Beth (STATCAN)</vt:lpwstr>
  </property>
</Properties>
</file>